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-342899</wp:posOffset>
            </wp:positionV>
            <wp:extent cx="1859915" cy="1295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ind w:hanging="141.732283464566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Pôle  COMMUNICATION</w:t>
      </w:r>
    </w:p>
    <w:p w:rsidR="00000000" w:rsidDel="00000000" w:rsidP="00000000" w:rsidRDefault="00000000" w:rsidRPr="00000000" w14:paraId="00000005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77"/>
        </w:tabs>
        <w:ind w:left="5387" w:firstLine="0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Lamentin, le 5 décembre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548DD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1F497D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44235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Dans le cadre de la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8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 édition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de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"Nwèl Manten Bèl"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, le Maire de la ville de Lamentin, Jocelyn SAPOTILLE, invite la population le samedi 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9 décembre 2023, à l’illumination de l’arbre de Noël, de 16h à 20h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sur l’esplanade de l'hôtel de ville. de nombreuses animations vous seront proposées 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  <w:color w:val="222222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16H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: jeux traditionnels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222222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18H 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: illumination du sapin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20H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: Téyat an lari-la 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b w:val="1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Informations complémentaires : 0590 25 36 25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Programme complet sur le site ville Lamentin 971.fr et le Facebook ville Lamentin Guadeloupe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